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E878" w14:textId="3B1176EF" w:rsidR="0073266F" w:rsidRDefault="00F35375" w:rsidP="00F35375">
      <w:pPr>
        <w:spacing w:after="0" w:line="240" w:lineRule="auto"/>
        <w:jc w:val="center"/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</w:rPr>
      </w:pPr>
      <w:r w:rsidRPr="00D96B6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C8B10" wp14:editId="1A21019C">
                <wp:simplePos x="0" y="0"/>
                <wp:positionH relativeFrom="column">
                  <wp:posOffset>2198028</wp:posOffset>
                </wp:positionH>
                <wp:positionV relativeFrom="paragraph">
                  <wp:posOffset>-64526</wp:posOffset>
                </wp:positionV>
                <wp:extent cx="1312985" cy="1318847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985" cy="13188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19766" w14:textId="77777777" w:rsidR="00F35375" w:rsidRPr="00483920" w:rsidRDefault="00F35375" w:rsidP="00F35375">
                            <w:pPr>
                              <w:rPr>
                                <w:rFonts w:ascii="TH SarabunPSK๙" w:hAnsi="TH SarabunPSK๙" w:cs="TH SarabunPSK๙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ECA75" wp14:editId="5839C398">
                                  <wp:extent cx="1184910" cy="1192530"/>
                                  <wp:effectExtent l="0" t="0" r="0" b="7620"/>
                                  <wp:docPr id="2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910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C8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05pt;margin-top:-5.1pt;width:103.4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" stroked="f">
                <v:fill opacity="0"/>
                <v:textbox>
                  <w:txbxContent>
                    <w:p w14:paraId="25919766" w14:textId="77777777" w:rsidR="00F35375" w:rsidRPr="00483920" w:rsidRDefault="00F35375" w:rsidP="00F35375">
                      <w:pPr>
                        <w:rPr>
                          <w:rFonts w:ascii="TH SarabunPSK๙" w:hAnsi="TH SarabunPSK๙" w:cs="TH SarabunPSK๙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CECA75" wp14:editId="5839C398">
                            <wp:extent cx="1184910" cy="1192530"/>
                            <wp:effectExtent l="0" t="0" r="0" b="7620"/>
                            <wp:docPr id="2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910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6059EB" w14:textId="77777777" w:rsidR="00F35375" w:rsidRDefault="00F35375" w:rsidP="00F35375">
      <w:pPr>
        <w:spacing w:after="0" w:line="240" w:lineRule="auto"/>
        <w:jc w:val="center"/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</w:rPr>
      </w:pPr>
    </w:p>
    <w:p w14:paraId="7B01450D" w14:textId="77777777" w:rsidR="00F35375" w:rsidRDefault="00F35375" w:rsidP="00F35375">
      <w:pPr>
        <w:spacing w:after="0" w:line="240" w:lineRule="auto"/>
        <w:jc w:val="center"/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</w:rPr>
      </w:pPr>
    </w:p>
    <w:p w14:paraId="38284717" w14:textId="77777777" w:rsidR="00F35375" w:rsidRDefault="00F35375" w:rsidP="00F35375">
      <w:pPr>
        <w:spacing w:after="0" w:line="240" w:lineRule="auto"/>
        <w:jc w:val="center"/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</w:rPr>
      </w:pPr>
      <w:bookmarkStart w:id="0" w:name="_GoBack"/>
      <w:bookmarkEnd w:id="0"/>
    </w:p>
    <w:p w14:paraId="2755B638" w14:textId="77777777" w:rsidR="00F35375" w:rsidRDefault="00F35375" w:rsidP="00F35375">
      <w:pPr>
        <w:spacing w:after="0" w:line="240" w:lineRule="auto"/>
        <w:jc w:val="center"/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</w:rPr>
      </w:pPr>
    </w:p>
    <w:p w14:paraId="3D8636C2" w14:textId="7C3C1099" w:rsidR="00EC3157" w:rsidRDefault="00D559FF" w:rsidP="00F35375">
      <w:pPr>
        <w:spacing w:after="0" w:line="240" w:lineRule="auto"/>
        <w:jc w:val="center"/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</w:rPr>
      </w:pPr>
      <w:r w:rsidRPr="00BE6BDD"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ประกาศกรมพัฒนาธุรกิจการค้า</w:t>
      </w:r>
      <w:r w:rsidRPr="00BE6BDD">
        <w:rPr>
          <w:rFonts w:ascii="TH SarabunIT๙" w:hAnsi="TH SarabunIT๙" w:cs="TH SarabunIT๙"/>
          <w:b/>
          <w:bCs/>
          <w:color w:val="2C2C2C"/>
          <w:sz w:val="32"/>
          <w:szCs w:val="32"/>
          <w:shd w:val="clear" w:color="auto" w:fill="FFFFFF"/>
        </w:rPr>
        <w:br/>
      </w:r>
      <w:r w:rsidRPr="00BE6BDD"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เรื่อง การจดทะเบียนข้อบังคับของบริษัทจำกัด ตามประมวลกฎหมายแพ่งและพาณิชย์</w:t>
      </w:r>
    </w:p>
    <w:p w14:paraId="543432BF" w14:textId="1019A75C" w:rsidR="00155AF9" w:rsidRDefault="00155AF9" w:rsidP="000F7F2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u w:val="thick"/>
        </w:rPr>
      </w:pPr>
      <w:r w:rsidRPr="000F7F28">
        <w:rPr>
          <w:rStyle w:val="a3"/>
          <w:rFonts w:ascii="TH SarabunIT๙" w:hAnsi="TH SarabunIT๙" w:cs="TH SarabunIT๙"/>
          <w:color w:val="2C2C2C"/>
          <w:sz w:val="16"/>
          <w:szCs w:val="16"/>
          <w:u w:val="thick"/>
          <w:shd w:val="clear" w:color="auto" w:fill="FFFFFF"/>
          <w:cs/>
        </w:rPr>
        <w:tab/>
      </w:r>
      <w:r w:rsidRPr="000F7F28">
        <w:rPr>
          <w:rStyle w:val="a3"/>
          <w:rFonts w:ascii="TH SarabunIT๙" w:hAnsi="TH SarabunIT๙" w:cs="TH SarabunIT๙"/>
          <w:color w:val="2C2C2C"/>
          <w:sz w:val="16"/>
          <w:szCs w:val="16"/>
          <w:u w:val="thick"/>
          <w:shd w:val="clear" w:color="auto" w:fill="FFFFFF"/>
          <w:cs/>
        </w:rPr>
        <w:tab/>
      </w:r>
      <w:r w:rsidRPr="000F7F28">
        <w:rPr>
          <w:rStyle w:val="a3"/>
          <w:rFonts w:ascii="TH SarabunIT๙" w:hAnsi="TH SarabunIT๙" w:cs="TH SarabunIT๙"/>
          <w:color w:val="2C2C2C"/>
          <w:sz w:val="16"/>
          <w:szCs w:val="16"/>
          <w:u w:val="thick"/>
          <w:shd w:val="clear" w:color="auto" w:fill="FFFFFF"/>
          <w:cs/>
        </w:rPr>
        <w:tab/>
      </w:r>
    </w:p>
    <w:p w14:paraId="61A56B12" w14:textId="77777777" w:rsidR="00BE6BDD" w:rsidRDefault="00D559FF" w:rsidP="00707B33">
      <w:pPr>
        <w:spacing w:before="360" w:after="0" w:line="240" w:lineRule="auto"/>
        <w:ind w:firstLine="1134"/>
        <w:jc w:val="thaiDistribute"/>
        <w:rPr>
          <w:rFonts w:ascii="TH SarabunIT๙" w:hAnsi="TH SarabunIT๙" w:cs="TH SarabunIT๙"/>
          <w:color w:val="2C2C2C"/>
          <w:sz w:val="32"/>
          <w:szCs w:val="32"/>
        </w:rPr>
      </w:pPr>
      <w:r w:rsidRPr="00BE6BDD">
        <w:rPr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ตามที่กรมพัฒนาธุรกิจการค้าได้พิจารณารับจดทะเบียนข้อบังคับของบริษัทจำกัดที่กำหนดให้กรรมการสามารถมอบฉันทะให้บุคคลอื่นเข้าประชุมแทนและให้นับเป็นองค์ประชุม รวมทั้งออกเสียงลงคะแนนในการประชุมคณะกรรมการบริษัท และข้อบังคับของบริษัทจำกัดที่กำหนดให้มติคณะกรรมการสามารถทำเป็นมติเวียนโดยไม่ต้องจัดประชุมคณะกรรมการบริษัท นั้น</w:t>
      </w:r>
    </w:p>
    <w:p w14:paraId="22096B4E" w14:textId="77777777" w:rsidR="00BE6BDD" w:rsidRDefault="00D559FF" w:rsidP="000F7F28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color w:val="2C2C2C"/>
          <w:sz w:val="32"/>
          <w:szCs w:val="32"/>
        </w:rPr>
      </w:pPr>
      <w:r w:rsidRPr="00BE6BDD">
        <w:rPr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ต่อมาปรากฏว่ามีคำพิพากษาของศาลฎีกาที่ ๓๓๖๒/๒๕๓๒ สรุปได้ว่า การเป็นกรรมการของบริษัทจำกัดต้องมีคุณสมบัติเฉพาะตัวและต้องกระทำกิจการด้วยตนเองจะมอบหมายให้บุคคลอื่นกระทำแทนตนในฐานะกรรมการไม่ได้ รวมทั้งมีคำวินิจฉัยของคณะกรรมการกฤษฎีกา (เรื่องเสร็จที่ ๗๕/๒๕๓๖) ซึ่งวินิจฉัยในกรณีข้อบังคับของบริษัทมหาชนจำกัดไว้ในทำนองเดียวกัน นอกจากนั้นคำวินิจฉัยของคณะกรรมการกฤษฎีกาดังกล่าวได้วินิจฉัยว่าข้อบังคับที่กำหนดให้มติคณะกรรมการสามารถทำเป็นมติเวียนโดยไม่ต้องจัดประชุมคณะกรรมการนั้นไม่อาจรับจดทะเบียนได้เนื่องจากส่งผลให้เป็นการหลีกเลี่ยงไม่ปฏิบัติตามบทบัญญัติของกฎหมาย</w:t>
      </w:r>
    </w:p>
    <w:p w14:paraId="5E665A0A" w14:textId="77777777" w:rsidR="00BE6BDD" w:rsidRDefault="00D559FF" w:rsidP="000F7F28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color w:val="2C2C2C"/>
          <w:sz w:val="32"/>
          <w:szCs w:val="32"/>
        </w:rPr>
      </w:pPr>
      <w:r w:rsidRPr="00BE6BDD">
        <w:rPr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จึงปรากฏข้อหารือจากผู้ที่เกี่ยวข้องว่าข้อบังคับของบริษัทจำกัดที่กำหนดให้กรรมการสามารถมอบฉันทะให้บุคคลอื่นเข้าประชุมแทนและให้นับเป็นองค์ประชุม รวมทั้งออกเสียงลงคะแนนในการประชุมคณะกรรมการบริษัท และข้อบังคับของบริษัทจำกัดที่กำหนดให้มติคณะกรรมการสามารถทำเป็นมติเวียนโดยไม่ต้องจัดประชุมคณะกรรมการบริษัทนั้นจะยังคงสามารถจดทะเบียนได้อยู่ต่อไปหรือไม่ และบริษัทจำกัดที่จดทะเบียนข้อบังคับในลักษณะดังกล่าวไว้แล้วจะสามารถปฏิบัติตามข้อบังคับนั้นได้ต่อไปหรือไม่</w:t>
      </w:r>
    </w:p>
    <w:p w14:paraId="17990F25" w14:textId="77777777" w:rsidR="00BE6BDD" w:rsidRDefault="00D559FF" w:rsidP="000F7F28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color w:val="2C2C2C"/>
          <w:sz w:val="32"/>
          <w:szCs w:val="32"/>
        </w:rPr>
      </w:pPr>
      <w:r w:rsidRPr="00BE6BDD">
        <w:rPr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กรมพัฒนาธุรกิจการค้าจึงได้นำประเด็นปัญหาดังกล่าวหารือคณะกรรมการที่ปรึกษากฎหมายของกรมพัฒนาธุรกิจการค้า ซึ่งคณะกรรมการฯ มีความเห็นว่า</w:t>
      </w:r>
    </w:p>
    <w:p w14:paraId="548D1A45" w14:textId="77777777" w:rsidR="00707B33" w:rsidRPr="00707B33" w:rsidRDefault="00D559FF" w:rsidP="000F7F28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2C2C2C"/>
          <w:sz w:val="32"/>
          <w:szCs w:val="32"/>
        </w:rPr>
      </w:pPr>
      <w:r w:rsidRPr="00707B33">
        <w:rPr>
          <w:rFonts w:ascii="TH SarabunIT๙" w:hAnsi="TH SarabunIT๙" w:cs="TH SarabunIT๙"/>
          <w:b/>
          <w:bCs/>
          <w:color w:val="2C2C2C"/>
          <w:sz w:val="32"/>
          <w:szCs w:val="32"/>
          <w:shd w:val="clear" w:color="auto" w:fill="FFFFFF"/>
          <w:cs/>
        </w:rPr>
        <w:t>๑. บริษัทจำกัดไม่สามารถกำหนดข้อบังคับบริษัทให้กรรมการสามารถมอบฉันทะให้บุคคลอื่นเข้าประชุมแทนและให้นับเป็นองค์ประชุม รวมทั้งออกเสียงลงคะแนนในการประชุมคณะกรรมการบริษัท</w:t>
      </w:r>
    </w:p>
    <w:p w14:paraId="65E6CC4A" w14:textId="167866D1" w:rsidR="00BE6BDD" w:rsidRDefault="00D559FF" w:rsidP="00707B3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2C2C2C"/>
          <w:sz w:val="32"/>
          <w:szCs w:val="32"/>
        </w:rPr>
      </w:pPr>
      <w:r w:rsidRPr="00BE6BDD">
        <w:rPr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เนื่องจาก แม้ประมวลกฎหมายแพ่งและพาณิชย์ซึ่งเป็นกฎหมายเอกชนจะมีหลักการพื้นฐานในการยึดถือการแสดงเจตนาของคู่สัญญาเป็นสำคัญก็ตามแต่การแสดงเจตนานั้นก็จำต้องอยู่ภายใต้กรอบของกฎหมายด้วย ดังนั้น แม้ตามมาตรา ๑๑๕๘ แห่งประมวลกฎหมายแพ่งและพาณิชย์จะบัญญัติให้บริษัทจำกัดสามารถกำหนดข้อบังคับแตกต่างจากบทบัญญัติของมาตรา ๑๑๕๙ ถึงมาตรา ๑๑๖๔ ได้ก็ตาม แต่บริษัทก็จะต้องกำหนดข้อบังคับขึ้นภายใต้กรอบของกฎหมายกล่าวคือ บริษัทไม่สามารถออกข้อบังคับที่มีวัตถุประสงค์ขัดกับกฎหมายหรือขัดต่อความสงบเรียบร้อยและศีลธรรมอันดีของประชาชนได้ ทั้งนี้การกำหนดข้อบังคับในลักษณะดังกล่าวจะส่งผลให้มีการหลีกเลี่ยงไม่ปฏิบัติตามบทบัญญัติของกฎหมายที่กำหนดในเรื่องอำนาจหน้าที่ความรับผิดชอบ</w:t>
      </w:r>
      <w:r w:rsidRPr="00707B33">
        <w:rPr>
          <w:rFonts w:ascii="TH SarabunIT๙" w:hAnsi="TH SarabunIT๙" w:cs="TH SarabunIT๙"/>
          <w:color w:val="2C2C2C"/>
          <w:spacing w:val="4"/>
          <w:sz w:val="32"/>
          <w:szCs w:val="32"/>
          <w:shd w:val="clear" w:color="auto" w:fill="FFFFFF"/>
          <w:cs/>
        </w:rPr>
        <w:t>ของกรรมการ สำหรับเรื่องคุณสมบัติของกรรมการก็เช่นกันเมื่อพิจารณาบทกฎหมายที่บัญญัติไว้เกี่ยวกับ</w:t>
      </w:r>
      <w:r w:rsidRPr="00BE6BDD">
        <w:rPr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ความรับผิดของกรรมการในทางแพ่งและอาญา รวมทั้งองค์ประชุมของกรรมการแล้วถือได้ว่าเป็นเรื่องเฉพาะตัว ดังนั้นบริษัทจึงไม่สามารถกำหนดข้อบังคับในลักษณะดังกล่าวข้างต้นได้</w:t>
      </w:r>
    </w:p>
    <w:p w14:paraId="62382885" w14:textId="77777777" w:rsidR="00BE6BDD" w:rsidRPr="00707B33" w:rsidRDefault="00D559FF" w:rsidP="000F7F28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2C2C2C"/>
          <w:sz w:val="32"/>
          <w:szCs w:val="32"/>
          <w:shd w:val="clear" w:color="auto" w:fill="FFFFFF"/>
        </w:rPr>
      </w:pPr>
      <w:r w:rsidRPr="00707B33">
        <w:rPr>
          <w:rFonts w:ascii="TH SarabunIT๙" w:hAnsi="TH SarabunIT๙" w:cs="TH SarabunIT๙"/>
          <w:b/>
          <w:bCs/>
          <w:color w:val="2C2C2C"/>
          <w:sz w:val="32"/>
          <w:szCs w:val="32"/>
          <w:shd w:val="clear" w:color="auto" w:fill="FFFFFF"/>
          <w:cs/>
        </w:rPr>
        <w:lastRenderedPageBreak/>
        <w:t>๒. บริษัทจำกัดไม่สามารถกำหนดข้อบังคับบริษัทให้มติคณะกรรมการสามารถทำเป็นมติเวียนโดยไม่ต้องจัดประชุมคณะกรรมการบริษัท</w:t>
      </w:r>
    </w:p>
    <w:p w14:paraId="1F7756E7" w14:textId="77777777" w:rsidR="00BE6BDD" w:rsidRDefault="00D559FF" w:rsidP="00707B3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2C2C2C"/>
          <w:sz w:val="32"/>
          <w:szCs w:val="32"/>
        </w:rPr>
      </w:pPr>
      <w:r w:rsidRPr="00BE6BDD">
        <w:rPr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เนื่องจาก ตามบทบัญญัติในมาตรา ๑๑๖๐ มาตรา ๑๑๖๑ มาตรา ๑๑๖๒ และมาตรา ๑๑๖๓ แห่งประมวลกฎหมายแพ่งและพาณิชย์ ได้กำหนดวิธีการประชุมกรรมการไว้แล้ว เพื่อให้กรรมการแต่ละคนได้มาประชุมแลกเปลี่ยนความคิดเห็นร่วมกันเกี่ยวกับการดำเนินกิจการของบริษัทก่อนการลงมติในเรื่องใดๆ แม้ว่าตามมาตรา ๑๑๕๘ จะกำหนดให้บริษัทสามารถกำหนดข้อบังคับเกี่ยวกับอำนาจกรรมการเป็นอย่างอื่นได้แต่ก็มิได้หมายความว่าจะสามารถกำหนดข้อบังคับให้ไม่ต้องมีการประชุมกรรมการได้ เนื่องจากการกำหนดข้อบังคับในลักษณะดังกล่าวเป็นการหลีกเลี่ยงไม่ปฏิบัติตามบทบัญญัติของกฎหมายตามมาตรา ๑๑๖๐ มาตรา ๑๑๖๑ มาตรา ๑๑๖๒ และมาตรา ๑๑๖๓</w:t>
      </w:r>
    </w:p>
    <w:p w14:paraId="1C4FB506" w14:textId="77777777" w:rsidR="00155AF9" w:rsidRPr="00707B33" w:rsidRDefault="00D559FF" w:rsidP="000F7F28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2C2C2C"/>
          <w:sz w:val="32"/>
          <w:szCs w:val="32"/>
        </w:rPr>
      </w:pPr>
      <w:r w:rsidRPr="00707B33">
        <w:rPr>
          <w:rFonts w:ascii="TH SarabunIT๙" w:hAnsi="TH SarabunIT๙" w:cs="TH SarabunIT๙"/>
          <w:b/>
          <w:bCs/>
          <w:color w:val="2C2C2C"/>
          <w:spacing w:val="-4"/>
          <w:sz w:val="32"/>
          <w:szCs w:val="32"/>
          <w:shd w:val="clear" w:color="auto" w:fill="FFFFFF"/>
          <w:cs/>
        </w:rPr>
        <w:t xml:space="preserve">๓. ในกรณีที่บริษัทจำกัดได้จดทะเบียนข้อบังคับในลักษณะดังกล่าวข้างต้นตามข้อ ๑ และข้อ ๒ </w:t>
      </w:r>
      <w:r w:rsidRPr="00707B33">
        <w:rPr>
          <w:rFonts w:ascii="TH SarabunIT๙" w:hAnsi="TH SarabunIT๙" w:cs="TH SarabunIT๙"/>
          <w:b/>
          <w:bCs/>
          <w:color w:val="2C2C2C"/>
          <w:sz w:val="32"/>
          <w:szCs w:val="32"/>
          <w:shd w:val="clear" w:color="auto" w:fill="FFFFFF"/>
          <w:cs/>
        </w:rPr>
        <w:t>ไว้แล้ว แม้จะมิได้มีการเพิกถอนการจดทะเบียนข้อบังคับดังกล่าว บริษัทก็ไม่สามารถถือปฏิบัติตามข้อบังคับนั้นได้อีกต่อไป</w:t>
      </w:r>
    </w:p>
    <w:p w14:paraId="1DFB58E4" w14:textId="77777777" w:rsidR="00155AF9" w:rsidRDefault="00D559FF" w:rsidP="00707B3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2C2C2C"/>
          <w:sz w:val="32"/>
          <w:szCs w:val="32"/>
        </w:rPr>
      </w:pPr>
      <w:r w:rsidRPr="00BE6BDD">
        <w:rPr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กรมพัฒนาธุรกิจการค้าจึงขอประกาศให้ทราบทั่วกัน และขอความร่วมมือให้บริษัทจำกัดซึ่งได้จด</w:t>
      </w:r>
      <w:r w:rsidRPr="00155AF9">
        <w:rPr>
          <w:rFonts w:ascii="TH SarabunIT๙" w:hAnsi="TH SarabunIT๙" w:cs="TH SarabunIT๙"/>
          <w:color w:val="2C2C2C"/>
          <w:spacing w:val="-6"/>
          <w:sz w:val="32"/>
          <w:szCs w:val="32"/>
          <w:shd w:val="clear" w:color="auto" w:fill="FFFFFF"/>
          <w:cs/>
        </w:rPr>
        <w:t>ทะเบียนข้อบังคับที่มีลักษณะตามข้อ ๑ และข้อ ๒ ไว้แล้วดำเนินการจดทะเบียนแก้ไขข้อบังคับของบริษัทต่อไปด้วย</w:t>
      </w:r>
    </w:p>
    <w:p w14:paraId="1F7C6FDD" w14:textId="77777777" w:rsidR="009525E9" w:rsidRPr="009525E9" w:rsidRDefault="009525E9" w:rsidP="009525E9">
      <w:pPr>
        <w:spacing w:before="240" w:after="0" w:line="240" w:lineRule="auto"/>
        <w:ind w:firstLine="1134"/>
        <w:jc w:val="distribute"/>
        <w:rPr>
          <w:rFonts w:ascii="TH SarabunIT๙" w:hAnsi="TH SarabunIT๙" w:cs="TH SarabunIT๙"/>
          <w:color w:val="2C2C2C"/>
          <w:sz w:val="16"/>
          <w:szCs w:val="16"/>
        </w:rPr>
      </w:pPr>
    </w:p>
    <w:p w14:paraId="3657127C" w14:textId="77777777" w:rsidR="00155AF9" w:rsidRDefault="00D559FF" w:rsidP="000F7F28">
      <w:pPr>
        <w:spacing w:before="120" w:after="0" w:line="240" w:lineRule="auto"/>
        <w:ind w:firstLine="4536"/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</w:rPr>
      </w:pPr>
      <w:r w:rsidRPr="00155AF9"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  <w:cs/>
        </w:rPr>
        <w:t>ประกาศ ณ วันที่ ๑๐ กันยายน พ.ศ. ๒๕๕๑</w:t>
      </w:r>
    </w:p>
    <w:p w14:paraId="5940C81A" w14:textId="25497A05" w:rsidR="00155AF9" w:rsidRDefault="00D559FF" w:rsidP="000F7F28">
      <w:pPr>
        <w:spacing w:before="120" w:after="0" w:line="240" w:lineRule="auto"/>
        <w:ind w:firstLine="5387"/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</w:rPr>
      </w:pPr>
      <w:r w:rsidRPr="00155AF9"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  <w:cs/>
        </w:rPr>
        <w:t>นางผานิต หล่อตระกูล</w:t>
      </w:r>
    </w:p>
    <w:p w14:paraId="2EFE9AB8" w14:textId="77777777" w:rsidR="00155AF9" w:rsidRDefault="00D559FF" w:rsidP="000F7F28">
      <w:pPr>
        <w:spacing w:before="120" w:after="0" w:line="240" w:lineRule="auto"/>
        <w:ind w:firstLine="5103"/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</w:rPr>
      </w:pPr>
      <w:r w:rsidRPr="00155AF9"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  <w:cs/>
        </w:rPr>
        <w:t>รองอธิบดี ปฏิบัติราชการแทน</w:t>
      </w:r>
    </w:p>
    <w:p w14:paraId="7F888EB6" w14:textId="3C36F064" w:rsidR="00D559FF" w:rsidRPr="00155AF9" w:rsidRDefault="00D559FF" w:rsidP="00707B33">
      <w:pPr>
        <w:spacing w:after="0" w:line="240" w:lineRule="auto"/>
        <w:ind w:firstLine="5103"/>
        <w:rPr>
          <w:rFonts w:ascii="TH SarabunIT๙" w:hAnsi="TH SarabunIT๙" w:cs="TH SarabunIT๙"/>
          <w:color w:val="2C2C2C"/>
          <w:sz w:val="32"/>
          <w:szCs w:val="32"/>
        </w:rPr>
      </w:pPr>
      <w:r w:rsidRPr="00155AF9"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  <w:cs/>
        </w:rPr>
        <w:t>อธิบดีกรมพัฒนาธุรกิจการค้า</w:t>
      </w:r>
    </w:p>
    <w:sectPr w:rsidR="00D559FF" w:rsidRPr="00155AF9" w:rsidSect="00155AF9">
      <w:headerReference w:type="default" r:id="rId7"/>
      <w:pgSz w:w="11906" w:h="16838"/>
      <w:pgMar w:top="1134" w:right="1134" w:bottom="1134" w:left="1701" w:header="85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869F1" w14:textId="77777777" w:rsidR="00155AF9" w:rsidRDefault="00155AF9" w:rsidP="00155AF9">
      <w:pPr>
        <w:spacing w:after="0" w:line="240" w:lineRule="auto"/>
      </w:pPr>
      <w:r>
        <w:separator/>
      </w:r>
    </w:p>
  </w:endnote>
  <w:endnote w:type="continuationSeparator" w:id="0">
    <w:p w14:paraId="52298B07" w14:textId="77777777" w:rsidR="00155AF9" w:rsidRDefault="00155AF9" w:rsidP="0015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31DF2" w14:textId="77777777" w:rsidR="00155AF9" w:rsidRDefault="00155AF9" w:rsidP="00155AF9">
      <w:pPr>
        <w:spacing w:after="0" w:line="240" w:lineRule="auto"/>
      </w:pPr>
      <w:r>
        <w:separator/>
      </w:r>
    </w:p>
  </w:footnote>
  <w:footnote w:type="continuationSeparator" w:id="0">
    <w:p w14:paraId="6F6B91F1" w14:textId="77777777" w:rsidR="00155AF9" w:rsidRDefault="00155AF9" w:rsidP="0015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</w:rPr>
      <w:id w:val="15476494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975CBD" w14:textId="4E99E027" w:rsidR="00155AF9" w:rsidRPr="00155AF9" w:rsidRDefault="00155AF9">
        <w:pPr>
          <w:pStyle w:val="a4"/>
          <w:jc w:val="center"/>
          <w:rPr>
            <w:rFonts w:ascii="TH SarabunIT๙" w:hAnsi="TH SarabunIT๙" w:cs="TH SarabunIT๙"/>
          </w:rPr>
        </w:pPr>
        <w:r w:rsidRPr="00155AF9">
          <w:rPr>
            <w:rFonts w:ascii="TH SarabunIT๙" w:hAnsi="TH SarabunIT๙" w:cs="TH SarabunIT๙" w:hint="cs"/>
            <w:sz w:val="32"/>
            <w:szCs w:val="32"/>
            <w:cs/>
          </w:rPr>
          <w:t xml:space="preserve">- </w:t>
        </w:r>
        <w:r w:rsidRPr="00155AF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55AF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55AF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07B33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155AF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155AF9"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-</w:t>
        </w:r>
      </w:p>
    </w:sdtContent>
  </w:sdt>
  <w:p w14:paraId="279BAAFA" w14:textId="77777777" w:rsidR="00155AF9" w:rsidRPr="00155AF9" w:rsidRDefault="00155AF9">
    <w:pPr>
      <w:pStyle w:val="a4"/>
      <w:rPr>
        <w:rFonts w:ascii="TH SarabunIT๙" w:hAnsi="TH SarabunIT๙" w:cs="TH SarabunIT๙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FF"/>
    <w:rsid w:val="000F7F28"/>
    <w:rsid w:val="00155AF9"/>
    <w:rsid w:val="002D7AF7"/>
    <w:rsid w:val="00707B33"/>
    <w:rsid w:val="0073266F"/>
    <w:rsid w:val="009525E9"/>
    <w:rsid w:val="00BE6BDD"/>
    <w:rsid w:val="00D559FF"/>
    <w:rsid w:val="00EC3157"/>
    <w:rsid w:val="00F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1539E8"/>
  <w15:chartTrackingRefBased/>
  <w15:docId w15:val="{E032641C-B4D0-4E7D-8C4E-13F5273B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9FF"/>
    <w:rPr>
      <w:b/>
      <w:bCs/>
    </w:rPr>
  </w:style>
  <w:style w:type="paragraph" w:styleId="a4">
    <w:name w:val="header"/>
    <w:basedOn w:val="a"/>
    <w:link w:val="a5"/>
    <w:uiPriority w:val="99"/>
    <w:unhideWhenUsed/>
    <w:rsid w:val="0015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55AF9"/>
  </w:style>
  <w:style w:type="paragraph" w:styleId="a6">
    <w:name w:val="footer"/>
    <w:basedOn w:val="a"/>
    <w:link w:val="a7"/>
    <w:uiPriority w:val="99"/>
    <w:unhideWhenUsed/>
    <w:rsid w:val="0015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55AF9"/>
  </w:style>
  <w:style w:type="paragraph" w:styleId="a8">
    <w:name w:val="List Paragraph"/>
    <w:basedOn w:val="a"/>
    <w:uiPriority w:val="34"/>
    <w:qFormat/>
    <w:rsid w:val="0070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Purin Saysuwan</dc:creator>
  <cp:keywords/>
  <dc:description/>
  <cp:lastModifiedBy>Lenovo</cp:lastModifiedBy>
  <cp:revision>8</cp:revision>
  <dcterms:created xsi:type="dcterms:W3CDTF">2020-08-28T06:45:00Z</dcterms:created>
  <dcterms:modified xsi:type="dcterms:W3CDTF">2020-12-20T12:30:00Z</dcterms:modified>
</cp:coreProperties>
</file>